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附件</w:t>
      </w:r>
      <w:bookmarkStart w:id="0" w:name="_GoBack"/>
      <w:bookmarkEnd w:id="0"/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年宁波市高校“先进大学生集体”推荐审批表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872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6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集体名称</w:t>
            </w:r>
          </w:p>
        </w:tc>
        <w:tc>
          <w:tcPr>
            <w:tcW w:w="6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或奖项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8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  <w:jc w:val="center"/>
        </w:trPr>
        <w:tc>
          <w:tcPr>
            <w:tcW w:w="8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</w:pPr>
      <w:r>
        <w:rPr>
          <w:rFonts w:hint="eastAsia"/>
          <w:sz w:val="28"/>
          <w:szCs w:val="28"/>
        </w:rPr>
        <w:t>注：不用打印，提交电子版和PDF扫描件即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779C5DFB"/>
    <w:rsid w:val="779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2024-01-12T14:19:00Z</dcterms:created>
  <dc:creator>HuangBS</dc:creator>
  <cp:lastModifiedBy>HuangBS</cp:lastModifiedBy>
  <dcterms:modified xsi:type="dcterms:W3CDTF">2024-01-12T14:20:28Z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F509E8FBE93043B88298C187A946F6D7_11</vt:lpwstr>
  </property>
</Properties>
</file>